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B12C" w14:textId="03C5CD29" w:rsidR="002B62A2" w:rsidRDefault="002B62A2" w:rsidP="002B62A2">
      <w:pPr>
        <w:pStyle w:val="Heading1"/>
      </w:pPr>
      <w:r>
        <w:t>Data protection and inventories – meeting notes</w:t>
      </w:r>
    </w:p>
    <w:p w14:paraId="1F819B14" w14:textId="77777777" w:rsidR="002B62A2" w:rsidRPr="002B62A2" w:rsidRDefault="002B62A2" w:rsidP="002B62A2"/>
    <w:p w14:paraId="0BFFD4C5" w14:textId="69813914" w:rsidR="002B62A2" w:rsidRPr="002B62A2" w:rsidRDefault="002B62A2" w:rsidP="002B62A2">
      <w:pPr>
        <w:pStyle w:val="Heading2"/>
      </w:pPr>
      <w:r w:rsidRPr="002B62A2">
        <w:t>Data Protection Roles and Responsibilities</w:t>
      </w:r>
    </w:p>
    <w:p w14:paraId="70922FED" w14:textId="77777777" w:rsidR="002B62A2" w:rsidRPr="002B62A2" w:rsidRDefault="002B62A2" w:rsidP="002B62A2">
      <w:r w:rsidRPr="002B62A2">
        <w:t>Understanding roles and responsibilities around data protection is key to compliance and risk management.</w:t>
      </w:r>
    </w:p>
    <w:p w14:paraId="3345974D" w14:textId="49FC7EE0" w:rsidR="002B62A2" w:rsidRPr="002B62A2" w:rsidRDefault="002B62A2" w:rsidP="002B62A2">
      <w:pPr>
        <w:numPr>
          <w:ilvl w:val="0"/>
          <w:numId w:val="12"/>
        </w:numPr>
      </w:pPr>
      <w:r w:rsidRPr="002B62A2">
        <w:rPr>
          <w:b/>
          <w:bCs/>
        </w:rPr>
        <w:t>Rob Cole defined the roles of data controllers and processors</w:t>
      </w:r>
      <w:r w:rsidRPr="002B62A2">
        <w:t xml:space="preserve">, clarifying that controllers decide how and why data is used, while processors act only on controller instructions </w:t>
      </w:r>
    </w:p>
    <w:p w14:paraId="0FCA36B9" w14:textId="6A0A8124" w:rsidR="002B62A2" w:rsidRPr="002B62A2" w:rsidRDefault="002B62A2" w:rsidP="002B62A2">
      <w:pPr>
        <w:numPr>
          <w:ilvl w:val="1"/>
          <w:numId w:val="12"/>
        </w:numPr>
      </w:pPr>
      <w:r w:rsidRPr="002B62A2">
        <w:t xml:space="preserve">Controllers carry the highest responsibility under UK GDPR and can be </w:t>
      </w:r>
      <w:r>
        <w:t>organisations</w:t>
      </w:r>
      <w:r w:rsidRPr="002B62A2">
        <w:t xml:space="preserve"> of any size, including sole traders.</w:t>
      </w:r>
    </w:p>
    <w:p w14:paraId="5BA21133" w14:textId="77777777" w:rsidR="002B62A2" w:rsidRPr="002B62A2" w:rsidRDefault="002B62A2" w:rsidP="002B62A2">
      <w:pPr>
        <w:numPr>
          <w:ilvl w:val="1"/>
          <w:numId w:val="12"/>
        </w:numPr>
      </w:pPr>
      <w:r w:rsidRPr="002B62A2">
        <w:t>Joint controllers share equal responsibility and require clear agreements.</w:t>
      </w:r>
    </w:p>
    <w:p w14:paraId="737AC1FE" w14:textId="77777777" w:rsidR="002B62A2" w:rsidRPr="002B62A2" w:rsidRDefault="002B62A2" w:rsidP="002B62A2">
      <w:pPr>
        <w:numPr>
          <w:ilvl w:val="1"/>
          <w:numId w:val="12"/>
        </w:numPr>
      </w:pPr>
      <w:r w:rsidRPr="002B62A2">
        <w:t>Contracts between controllers and processors must specify data use, security, retention, and breach procedures before processing begins.</w:t>
      </w:r>
    </w:p>
    <w:p w14:paraId="47711FC4" w14:textId="77777777" w:rsidR="002B62A2" w:rsidRPr="002B62A2" w:rsidRDefault="002B62A2" w:rsidP="002B62A2">
      <w:pPr>
        <w:numPr>
          <w:ilvl w:val="1"/>
          <w:numId w:val="12"/>
        </w:numPr>
      </w:pPr>
      <w:r w:rsidRPr="002B62A2">
        <w:t>This clarity helps reduce legal risks and ensures compliance across business relationships.</w:t>
      </w:r>
    </w:p>
    <w:p w14:paraId="59DC6AA8" w14:textId="35CA5160" w:rsidR="002B62A2" w:rsidRPr="002B62A2" w:rsidRDefault="002B62A2" w:rsidP="002B62A2">
      <w:pPr>
        <w:numPr>
          <w:ilvl w:val="0"/>
          <w:numId w:val="12"/>
        </w:numPr>
      </w:pPr>
      <w:r w:rsidRPr="002B62A2">
        <w:rPr>
          <w:b/>
          <w:bCs/>
        </w:rPr>
        <w:t xml:space="preserve">Jessie </w:t>
      </w:r>
      <w:r>
        <w:rPr>
          <w:b/>
          <w:bCs/>
        </w:rPr>
        <w:t>emphasised</w:t>
      </w:r>
      <w:r w:rsidRPr="002B62A2">
        <w:rPr>
          <w:b/>
          <w:bCs/>
        </w:rPr>
        <w:t xml:space="preserve"> the distinction between data about individuals and properties</w:t>
      </w:r>
      <w:r w:rsidRPr="002B62A2">
        <w:t>, noting that personal data applies only when information identifies a living individual (04:06)</w:t>
      </w:r>
    </w:p>
    <w:p w14:paraId="77F4A1AB" w14:textId="77777777" w:rsidR="002B62A2" w:rsidRPr="002B62A2" w:rsidRDefault="002B62A2" w:rsidP="002B62A2">
      <w:pPr>
        <w:numPr>
          <w:ilvl w:val="1"/>
          <w:numId w:val="12"/>
        </w:numPr>
      </w:pPr>
      <w:r w:rsidRPr="002B62A2">
        <w:t>For example, details about a property alone are not personal data unless linked to occupants.</w:t>
      </w:r>
    </w:p>
    <w:p w14:paraId="7EEB19E0" w14:textId="77777777" w:rsidR="002B62A2" w:rsidRPr="002B62A2" w:rsidRDefault="002B62A2" w:rsidP="002B62A2">
      <w:pPr>
        <w:numPr>
          <w:ilvl w:val="1"/>
          <w:numId w:val="12"/>
        </w:numPr>
      </w:pPr>
      <w:r w:rsidRPr="002B62A2">
        <w:t>Sole trader landlords’ personal data is protected under UK GDPR, meaning organizations must manage that data carefully.</w:t>
      </w:r>
    </w:p>
    <w:p w14:paraId="1C4C90DA" w14:textId="77777777" w:rsidR="002B62A2" w:rsidRPr="002B62A2" w:rsidRDefault="002B62A2" w:rsidP="002B62A2">
      <w:pPr>
        <w:numPr>
          <w:ilvl w:val="1"/>
          <w:numId w:val="12"/>
        </w:numPr>
      </w:pPr>
      <w:r w:rsidRPr="002B62A2">
        <w:t>This distinction informs how data collection and processing policies are shaped to avoid misuse.</w:t>
      </w:r>
    </w:p>
    <w:p w14:paraId="405DB304" w14:textId="77777777" w:rsidR="002B62A2" w:rsidRPr="002B62A2" w:rsidRDefault="002B62A2" w:rsidP="002B62A2">
      <w:pPr>
        <w:numPr>
          <w:ilvl w:val="1"/>
          <w:numId w:val="12"/>
        </w:numPr>
      </w:pPr>
      <w:r w:rsidRPr="002B62A2">
        <w:t>It also impacts invoicing, communication, and record-keeping responsibilities in housing contexts.</w:t>
      </w:r>
    </w:p>
    <w:p w14:paraId="65A986A7" w14:textId="77777777" w:rsidR="002B62A2" w:rsidRPr="002B62A2" w:rsidRDefault="002B62A2" w:rsidP="002B62A2">
      <w:pPr>
        <w:pStyle w:val="Heading2"/>
      </w:pPr>
      <w:r w:rsidRPr="002B62A2">
        <w:t>Core Data Protection Principles and Lawful Basis</w:t>
      </w:r>
    </w:p>
    <w:p w14:paraId="339FAB95" w14:textId="77777777" w:rsidR="002B62A2" w:rsidRPr="002B62A2" w:rsidRDefault="002B62A2" w:rsidP="002B62A2">
      <w:r w:rsidRPr="002B62A2">
        <w:t>Following fundamental principles and selecting the right lawful basis ensures responsible data handling.</w:t>
      </w:r>
    </w:p>
    <w:p w14:paraId="0F8630B9" w14:textId="42B37BA6" w:rsidR="002B62A2" w:rsidRPr="002B62A2" w:rsidRDefault="002B62A2" w:rsidP="002B62A2">
      <w:pPr>
        <w:numPr>
          <w:ilvl w:val="0"/>
          <w:numId w:val="13"/>
        </w:numPr>
      </w:pPr>
      <w:r w:rsidRPr="002B62A2">
        <w:rPr>
          <w:b/>
          <w:bCs/>
        </w:rPr>
        <w:t>Rob Cole highlighted the seven core principles of data protection and focused on lawfulness, fairness, and transparency as essential to compliance</w:t>
      </w:r>
      <w:r w:rsidRPr="002B62A2">
        <w:t> </w:t>
      </w:r>
    </w:p>
    <w:p w14:paraId="2A07E886" w14:textId="77777777" w:rsidR="002B62A2" w:rsidRPr="002B62A2" w:rsidRDefault="002B62A2" w:rsidP="002B62A2">
      <w:pPr>
        <w:numPr>
          <w:ilvl w:val="1"/>
          <w:numId w:val="13"/>
        </w:numPr>
      </w:pPr>
      <w:r w:rsidRPr="002B62A2">
        <w:lastRenderedPageBreak/>
        <w:t>Controllers must be clear upfront about what data is collected, why, how it is used, whom it is shared with, and retention periods.</w:t>
      </w:r>
    </w:p>
    <w:p w14:paraId="0C7022D1" w14:textId="77777777" w:rsidR="002B62A2" w:rsidRPr="002B62A2" w:rsidRDefault="002B62A2" w:rsidP="002B62A2">
      <w:pPr>
        <w:numPr>
          <w:ilvl w:val="1"/>
          <w:numId w:val="13"/>
        </w:numPr>
      </w:pPr>
      <w:r w:rsidRPr="002B62A2">
        <w:t>Providing clear privacy notices builds trust and reduces complaints.</w:t>
      </w:r>
    </w:p>
    <w:p w14:paraId="44F46000" w14:textId="3D2FC0E4" w:rsidR="002B62A2" w:rsidRPr="002B62A2" w:rsidRDefault="002B62A2" w:rsidP="002B62A2">
      <w:pPr>
        <w:numPr>
          <w:ilvl w:val="1"/>
          <w:numId w:val="13"/>
        </w:numPr>
      </w:pPr>
      <w:r w:rsidRPr="002B62A2">
        <w:t xml:space="preserve">Other principles like purpose limitation, data </w:t>
      </w:r>
      <w:r>
        <w:t>minimisation</w:t>
      </w:r>
      <w:r w:rsidRPr="002B62A2">
        <w:t>, accuracy, storage limitation, security, and accountability support robust data management.</w:t>
      </w:r>
    </w:p>
    <w:p w14:paraId="6E13C30D" w14:textId="77777777" w:rsidR="002B62A2" w:rsidRPr="002B62A2" w:rsidRDefault="002B62A2" w:rsidP="002B62A2">
      <w:pPr>
        <w:numPr>
          <w:ilvl w:val="1"/>
          <w:numId w:val="13"/>
        </w:numPr>
      </w:pPr>
      <w:r w:rsidRPr="002B62A2">
        <w:t>These principles balance legal requirements with practical business needs.</w:t>
      </w:r>
    </w:p>
    <w:p w14:paraId="072ECEE0" w14:textId="218C5A67" w:rsidR="002B62A2" w:rsidRPr="002B62A2" w:rsidRDefault="002B62A2" w:rsidP="002B62A2">
      <w:pPr>
        <w:numPr>
          <w:ilvl w:val="0"/>
          <w:numId w:val="13"/>
        </w:numPr>
      </w:pPr>
      <w:r w:rsidRPr="002B62A2">
        <w:rPr>
          <w:b/>
          <w:bCs/>
        </w:rPr>
        <w:t>Rob explained the six lawful bases for processing personal data, encouraging careful choice beyond defaulting to consent</w:t>
      </w:r>
      <w:r w:rsidRPr="002B62A2">
        <w:t> </w:t>
      </w:r>
    </w:p>
    <w:p w14:paraId="29C31250" w14:textId="77777777" w:rsidR="002B62A2" w:rsidRPr="002B62A2" w:rsidRDefault="002B62A2" w:rsidP="002B62A2">
      <w:pPr>
        <w:numPr>
          <w:ilvl w:val="1"/>
          <w:numId w:val="13"/>
        </w:numPr>
      </w:pPr>
      <w:r w:rsidRPr="002B62A2">
        <w:t>These include consent, contract, legal obligation, vital interest, public task, and legitimate interest.</w:t>
      </w:r>
    </w:p>
    <w:p w14:paraId="3BA23D9C" w14:textId="2074E29C" w:rsidR="002B62A2" w:rsidRPr="002B62A2" w:rsidRDefault="002B62A2" w:rsidP="002B62A2">
      <w:pPr>
        <w:numPr>
          <w:ilvl w:val="1"/>
          <w:numId w:val="13"/>
        </w:numPr>
      </w:pPr>
      <w:r w:rsidRPr="002B62A2">
        <w:t xml:space="preserve">For example, invoicing sole trader landlords relies on </w:t>
      </w:r>
      <w:r>
        <w:t xml:space="preserve">a </w:t>
      </w:r>
      <w:r w:rsidRPr="002B62A2">
        <w:t>contract as lawful basis rather than consent.</w:t>
      </w:r>
    </w:p>
    <w:p w14:paraId="5A226C80" w14:textId="77777777" w:rsidR="002B62A2" w:rsidRPr="002B62A2" w:rsidRDefault="002B62A2" w:rsidP="002B62A2">
      <w:pPr>
        <w:numPr>
          <w:ilvl w:val="1"/>
          <w:numId w:val="13"/>
        </w:numPr>
      </w:pPr>
      <w:r w:rsidRPr="002B62A2">
        <w:t>Consent can be withdrawn, creating operational challenges, so other bases often provide more stability.</w:t>
      </w:r>
    </w:p>
    <w:p w14:paraId="75A95ABD" w14:textId="77777777" w:rsidR="002B62A2" w:rsidRPr="002B62A2" w:rsidRDefault="002B62A2" w:rsidP="002B62A2">
      <w:pPr>
        <w:numPr>
          <w:ilvl w:val="1"/>
          <w:numId w:val="13"/>
        </w:numPr>
      </w:pPr>
      <w:r w:rsidRPr="002B62A2">
        <w:t>Controllers must assess which basis fits each processing activity to ensure lawful compliance.</w:t>
      </w:r>
    </w:p>
    <w:p w14:paraId="7D0B089B" w14:textId="77777777" w:rsidR="002B62A2" w:rsidRPr="002B62A2" w:rsidRDefault="002B62A2" w:rsidP="002B62A2">
      <w:pPr>
        <w:pStyle w:val="Heading2"/>
      </w:pPr>
      <w:r w:rsidRPr="002B62A2">
        <w:t>Individual Rights and Subject Access Requests</w:t>
      </w:r>
    </w:p>
    <w:p w14:paraId="2B561D91" w14:textId="77777777" w:rsidR="002B62A2" w:rsidRPr="002B62A2" w:rsidRDefault="002B62A2" w:rsidP="002B62A2">
      <w:r w:rsidRPr="002B62A2">
        <w:t>Respecting and managing individual rights is crucial to legal compliance and reputational trust.</w:t>
      </w:r>
    </w:p>
    <w:p w14:paraId="21B915E0" w14:textId="50A58176" w:rsidR="002B62A2" w:rsidRPr="002B62A2" w:rsidRDefault="002B62A2" w:rsidP="002B62A2">
      <w:pPr>
        <w:numPr>
          <w:ilvl w:val="0"/>
          <w:numId w:val="14"/>
        </w:numPr>
      </w:pPr>
      <w:r w:rsidRPr="002B62A2">
        <w:rPr>
          <w:b/>
          <w:bCs/>
        </w:rPr>
        <w:t>Rob Cole outlined key individual rights under data protection law, focusing on the right of subject access (SAR) as the most common and impactful</w:t>
      </w:r>
      <w:r w:rsidRPr="002B62A2">
        <w:t> </w:t>
      </w:r>
    </w:p>
    <w:p w14:paraId="5488EFD1" w14:textId="77777777" w:rsidR="002B62A2" w:rsidRPr="002B62A2" w:rsidRDefault="002B62A2" w:rsidP="002B62A2">
      <w:pPr>
        <w:numPr>
          <w:ilvl w:val="1"/>
          <w:numId w:val="14"/>
        </w:numPr>
      </w:pPr>
      <w:r w:rsidRPr="002B62A2">
        <w:t>Individuals can request access to their personal data verbally or in writing, and controllers have one month to respond, extendable by two months for complex cases.</w:t>
      </w:r>
    </w:p>
    <w:p w14:paraId="2464FCAB" w14:textId="77777777" w:rsidR="002B62A2" w:rsidRPr="002B62A2" w:rsidRDefault="002B62A2" w:rsidP="002B62A2">
      <w:pPr>
        <w:numPr>
          <w:ilvl w:val="1"/>
          <w:numId w:val="14"/>
        </w:numPr>
      </w:pPr>
      <w:r w:rsidRPr="002B62A2">
        <w:t>No fee can be charged for SARs, and identity verification must be reasonable and not cause undue delay.</w:t>
      </w:r>
    </w:p>
    <w:p w14:paraId="513DFA7F" w14:textId="77777777" w:rsidR="002B62A2" w:rsidRPr="002B62A2" w:rsidRDefault="002B62A2" w:rsidP="002B62A2">
      <w:pPr>
        <w:numPr>
          <w:ilvl w:val="1"/>
          <w:numId w:val="14"/>
        </w:numPr>
      </w:pPr>
      <w:r w:rsidRPr="002B62A2">
        <w:t>Controllers should communicate openly with requesters to clarify needs and avoid unnecessary work.</w:t>
      </w:r>
    </w:p>
    <w:p w14:paraId="51BFB3D3" w14:textId="77777777" w:rsidR="002B62A2" w:rsidRPr="002B62A2" w:rsidRDefault="002B62A2" w:rsidP="002B62A2">
      <w:pPr>
        <w:numPr>
          <w:ilvl w:val="1"/>
          <w:numId w:val="14"/>
        </w:numPr>
      </w:pPr>
      <w:r w:rsidRPr="002B62A2">
        <w:t>Providing data in commonly used electronic formats meets compliance and usability standards.</w:t>
      </w:r>
    </w:p>
    <w:p w14:paraId="42628FC0" w14:textId="4641429E" w:rsidR="002B62A2" w:rsidRPr="002B62A2" w:rsidRDefault="002B62A2" w:rsidP="002B62A2">
      <w:pPr>
        <w:numPr>
          <w:ilvl w:val="0"/>
          <w:numId w:val="14"/>
        </w:numPr>
      </w:pPr>
      <w:r w:rsidRPr="002B62A2">
        <w:rPr>
          <w:b/>
          <w:bCs/>
        </w:rPr>
        <w:lastRenderedPageBreak/>
        <w:t>Rob described other rights such as erasure, restriction, objection, rectification, portability, and protection against automated decision-making</w:t>
      </w:r>
      <w:r w:rsidRPr="002B62A2">
        <w:t> </w:t>
      </w:r>
    </w:p>
    <w:p w14:paraId="5A319A61" w14:textId="77777777" w:rsidR="002B62A2" w:rsidRPr="002B62A2" w:rsidRDefault="002B62A2" w:rsidP="002B62A2">
      <w:pPr>
        <w:numPr>
          <w:ilvl w:val="1"/>
          <w:numId w:val="14"/>
        </w:numPr>
      </w:pPr>
      <w:r w:rsidRPr="002B62A2">
        <w:t>For example, individuals can ask for data correction if it is factually wrong or restrict processing pending resolution.</w:t>
      </w:r>
    </w:p>
    <w:p w14:paraId="3BFC6F14" w14:textId="77777777" w:rsidR="002B62A2" w:rsidRPr="002B62A2" w:rsidRDefault="002B62A2" w:rsidP="002B62A2">
      <w:pPr>
        <w:numPr>
          <w:ilvl w:val="1"/>
          <w:numId w:val="14"/>
        </w:numPr>
      </w:pPr>
      <w:r w:rsidRPr="002B62A2">
        <w:t>Automated decision-making rights protect individuals from decisions made without human input, relevant as AI use grows.</w:t>
      </w:r>
    </w:p>
    <w:p w14:paraId="5E3E250F" w14:textId="77777777" w:rsidR="002B62A2" w:rsidRPr="002B62A2" w:rsidRDefault="002B62A2" w:rsidP="002B62A2">
      <w:pPr>
        <w:numPr>
          <w:ilvl w:val="1"/>
          <w:numId w:val="14"/>
        </w:numPr>
      </w:pPr>
      <w:r w:rsidRPr="002B62A2">
        <w:t>These rights require controllers to maintain adaptable processes to respond effectively and lawfully.</w:t>
      </w:r>
    </w:p>
    <w:p w14:paraId="1120A5A4" w14:textId="77777777" w:rsidR="002B62A2" w:rsidRPr="002B62A2" w:rsidRDefault="002B62A2" w:rsidP="002B62A2">
      <w:pPr>
        <w:pStyle w:val="Heading2"/>
      </w:pPr>
      <w:r w:rsidRPr="002B62A2">
        <w:t>Data Breach Management and Reporting</w:t>
      </w:r>
    </w:p>
    <w:p w14:paraId="2C7F3B5A" w14:textId="77777777" w:rsidR="002B62A2" w:rsidRPr="002B62A2" w:rsidRDefault="002B62A2" w:rsidP="002B62A2">
      <w:r w:rsidRPr="002B62A2">
        <w:t>Effective breach management reduces harm and regulatory risk.</w:t>
      </w:r>
    </w:p>
    <w:p w14:paraId="2814BD12" w14:textId="308581B4" w:rsidR="002B62A2" w:rsidRPr="002B62A2" w:rsidRDefault="002B62A2" w:rsidP="002B62A2">
      <w:pPr>
        <w:numPr>
          <w:ilvl w:val="0"/>
          <w:numId w:val="15"/>
        </w:numPr>
      </w:pPr>
      <w:r w:rsidRPr="002B62A2">
        <w:rPr>
          <w:b/>
          <w:bCs/>
        </w:rPr>
        <w:t>Rob detailed what constitutes a personal data breach and the required response steps</w:t>
      </w:r>
      <w:r w:rsidRPr="002B62A2">
        <w:t> </w:t>
      </w:r>
    </w:p>
    <w:p w14:paraId="3EA6190E" w14:textId="47CB01BE" w:rsidR="002B62A2" w:rsidRPr="002B62A2" w:rsidRDefault="002B62A2" w:rsidP="002B62A2">
      <w:pPr>
        <w:numPr>
          <w:ilvl w:val="1"/>
          <w:numId w:val="15"/>
        </w:numPr>
      </w:pPr>
      <w:r w:rsidRPr="002B62A2">
        <w:t xml:space="preserve">Breaches include accidental or unlawful loss, alteration, </w:t>
      </w:r>
      <w:r>
        <w:t>unauthorised</w:t>
      </w:r>
      <w:r w:rsidRPr="002B62A2">
        <w:t xml:space="preserve"> access, or disclosure of personal data.</w:t>
      </w:r>
    </w:p>
    <w:p w14:paraId="051C0CCD" w14:textId="77777777" w:rsidR="002B62A2" w:rsidRPr="002B62A2" w:rsidRDefault="002B62A2" w:rsidP="002B62A2">
      <w:pPr>
        <w:numPr>
          <w:ilvl w:val="1"/>
          <w:numId w:val="15"/>
        </w:numPr>
      </w:pPr>
      <w:r w:rsidRPr="002B62A2">
        <w:t>Controllers must report breaches likely to risk individual rights within </w:t>
      </w:r>
      <w:r w:rsidRPr="002B62A2">
        <w:rPr>
          <w:b/>
          <w:bCs/>
        </w:rPr>
        <w:t>72 hours</w:t>
      </w:r>
      <w:r w:rsidRPr="002B62A2">
        <w:t>, or document and mitigate others.</w:t>
      </w:r>
    </w:p>
    <w:p w14:paraId="2023B85E" w14:textId="77777777" w:rsidR="002B62A2" w:rsidRPr="002B62A2" w:rsidRDefault="002B62A2" w:rsidP="002B62A2">
      <w:pPr>
        <w:numPr>
          <w:ilvl w:val="1"/>
          <w:numId w:val="15"/>
        </w:numPr>
      </w:pPr>
      <w:r w:rsidRPr="002B62A2">
        <w:t>Examples include misdirected emails, lost devices, phishing attacks, or ransomware.</w:t>
      </w:r>
    </w:p>
    <w:p w14:paraId="1564A1DA" w14:textId="77777777" w:rsidR="002B62A2" w:rsidRPr="002B62A2" w:rsidRDefault="002B62A2" w:rsidP="002B62A2">
      <w:pPr>
        <w:numPr>
          <w:ilvl w:val="1"/>
          <w:numId w:val="15"/>
        </w:numPr>
      </w:pPr>
      <w:r w:rsidRPr="002B62A2">
        <w:t>Even small breaches can cause serious harm, as shown in the ICO’s "ripple effect" campaign.</w:t>
      </w:r>
    </w:p>
    <w:p w14:paraId="50A1E868" w14:textId="33C53B6D" w:rsidR="002B62A2" w:rsidRPr="002B62A2" w:rsidRDefault="002B62A2" w:rsidP="002B62A2">
      <w:pPr>
        <w:numPr>
          <w:ilvl w:val="0"/>
          <w:numId w:val="15"/>
        </w:numPr>
      </w:pPr>
      <w:r w:rsidRPr="002B62A2">
        <w:rPr>
          <w:b/>
          <w:bCs/>
        </w:rPr>
        <w:t>Rob recommended calm, structured responses to breaches, including containment, risk assessment, mitigation, and root cause analysis</w:t>
      </w:r>
      <w:r w:rsidRPr="002B62A2">
        <w:t> </w:t>
      </w:r>
    </w:p>
    <w:p w14:paraId="6E5DD12B" w14:textId="77777777" w:rsidR="002B62A2" w:rsidRPr="002B62A2" w:rsidRDefault="002B62A2" w:rsidP="002B62A2">
      <w:pPr>
        <w:numPr>
          <w:ilvl w:val="1"/>
          <w:numId w:val="15"/>
        </w:numPr>
      </w:pPr>
      <w:r w:rsidRPr="002B62A2">
        <w:t>For instance, requesting deletion confirmation from unintended recipients can limit damage.</w:t>
      </w:r>
    </w:p>
    <w:p w14:paraId="202E5456" w14:textId="77777777" w:rsidR="002B62A2" w:rsidRPr="002B62A2" w:rsidRDefault="002B62A2" w:rsidP="002B62A2">
      <w:pPr>
        <w:numPr>
          <w:ilvl w:val="1"/>
          <w:numId w:val="15"/>
        </w:numPr>
      </w:pPr>
      <w:r w:rsidRPr="002B62A2">
        <w:t>Reviewing security practices and updating procedures post-incident reduces future risk.</w:t>
      </w:r>
    </w:p>
    <w:p w14:paraId="2C662882" w14:textId="77777777" w:rsidR="002B62A2" w:rsidRPr="002B62A2" w:rsidRDefault="002B62A2" w:rsidP="002B62A2">
      <w:pPr>
        <w:numPr>
          <w:ilvl w:val="1"/>
          <w:numId w:val="15"/>
        </w:numPr>
      </w:pPr>
      <w:r w:rsidRPr="002B62A2">
        <w:t>Documentation supports compliance and accountability, helping avoid fines or reputational damage.</w:t>
      </w:r>
    </w:p>
    <w:p w14:paraId="662CBEB8" w14:textId="09FC0EA8" w:rsidR="002B62A2" w:rsidRPr="002B62A2" w:rsidRDefault="002B62A2" w:rsidP="002B62A2">
      <w:pPr>
        <w:numPr>
          <w:ilvl w:val="1"/>
          <w:numId w:val="15"/>
        </w:numPr>
      </w:pPr>
      <w:r>
        <w:t>Organisations</w:t>
      </w:r>
      <w:r w:rsidRPr="002B62A2">
        <w:t xml:space="preserve"> of all sizes should have clear breach detection, reporting, and investigation processes.</w:t>
      </w:r>
    </w:p>
    <w:p w14:paraId="5D9D7B39" w14:textId="77777777" w:rsidR="002B62A2" w:rsidRPr="002B62A2" w:rsidRDefault="002B62A2" w:rsidP="002B62A2">
      <w:pPr>
        <w:pStyle w:val="Heading2"/>
      </w:pPr>
      <w:r w:rsidRPr="002B62A2">
        <w:t>Data Retention, Disposal, and Operational Practices</w:t>
      </w:r>
    </w:p>
    <w:p w14:paraId="7D8D2680" w14:textId="77777777" w:rsidR="002B62A2" w:rsidRPr="002B62A2" w:rsidRDefault="002B62A2" w:rsidP="002B62A2">
      <w:r w:rsidRPr="002B62A2">
        <w:t>Managing how long data is kept and disposed of protects privacy and reduces exposure.</w:t>
      </w:r>
    </w:p>
    <w:p w14:paraId="2B0AF2D0" w14:textId="1C6943FE" w:rsidR="002B62A2" w:rsidRPr="002B62A2" w:rsidRDefault="002B62A2" w:rsidP="002B62A2">
      <w:pPr>
        <w:numPr>
          <w:ilvl w:val="0"/>
          <w:numId w:val="16"/>
        </w:numPr>
      </w:pPr>
      <w:r w:rsidRPr="002B62A2">
        <w:rPr>
          <w:b/>
          <w:bCs/>
        </w:rPr>
        <w:lastRenderedPageBreak/>
        <w:t>Rob and Jessie advised that data should only be kept as long as necessary and regularly reviewed to avoid unnecessary retention</w:t>
      </w:r>
      <w:r w:rsidRPr="002B62A2">
        <w:t> </w:t>
      </w:r>
    </w:p>
    <w:p w14:paraId="5E11E835" w14:textId="77777777" w:rsidR="002B62A2" w:rsidRPr="002B62A2" w:rsidRDefault="002B62A2" w:rsidP="002B62A2">
      <w:pPr>
        <w:numPr>
          <w:ilvl w:val="1"/>
          <w:numId w:val="16"/>
        </w:numPr>
      </w:pPr>
      <w:r w:rsidRPr="002B62A2">
        <w:t>While some retention periods are legally mandated (e.g., payroll records for </w:t>
      </w:r>
      <w:r w:rsidRPr="002B62A2">
        <w:rPr>
          <w:b/>
          <w:bCs/>
        </w:rPr>
        <w:t>3 years</w:t>
      </w:r>
      <w:r w:rsidRPr="002B62A2">
        <w:t>), others are controller-decided.</w:t>
      </w:r>
    </w:p>
    <w:p w14:paraId="70062081" w14:textId="77777777" w:rsidR="002B62A2" w:rsidRPr="002B62A2" w:rsidRDefault="002B62A2" w:rsidP="002B62A2">
      <w:pPr>
        <w:numPr>
          <w:ilvl w:val="1"/>
          <w:numId w:val="16"/>
        </w:numPr>
      </w:pPr>
      <w:r w:rsidRPr="002B62A2">
        <w:t>Automated deletion tools in software like Inventory Base help enforce retention policies and reduce risk.</w:t>
      </w:r>
    </w:p>
    <w:p w14:paraId="3619DA3E" w14:textId="77777777" w:rsidR="002B62A2" w:rsidRPr="002B62A2" w:rsidRDefault="002B62A2" w:rsidP="002B62A2">
      <w:pPr>
        <w:numPr>
          <w:ilvl w:val="1"/>
          <w:numId w:val="16"/>
        </w:numPr>
      </w:pPr>
      <w:r w:rsidRPr="002B62A2">
        <w:t>Regular deletion prevents accumulation, which complicates subject access requests and increases breach risk.</w:t>
      </w:r>
    </w:p>
    <w:p w14:paraId="18D64D39" w14:textId="77777777" w:rsidR="002B62A2" w:rsidRPr="002B62A2" w:rsidRDefault="002B62A2" w:rsidP="002B62A2">
      <w:pPr>
        <w:numPr>
          <w:ilvl w:val="1"/>
          <w:numId w:val="16"/>
        </w:numPr>
      </w:pPr>
      <w:r w:rsidRPr="002B62A2">
        <w:t>Documenting retention policies in privacy notices ensures transparency and internal control.</w:t>
      </w:r>
    </w:p>
    <w:p w14:paraId="705D4F3B" w14:textId="51C2AE2C" w:rsidR="002B62A2" w:rsidRPr="002B62A2" w:rsidRDefault="002B62A2" w:rsidP="002B62A2">
      <w:pPr>
        <w:numPr>
          <w:ilvl w:val="0"/>
          <w:numId w:val="16"/>
        </w:numPr>
      </w:pPr>
      <w:r w:rsidRPr="002B62A2">
        <w:rPr>
          <w:b/>
          <w:bCs/>
        </w:rPr>
        <w:t xml:space="preserve">For physical data, shredding or secure disposal is recommended to prevent </w:t>
      </w:r>
      <w:r>
        <w:rPr>
          <w:b/>
          <w:bCs/>
        </w:rPr>
        <w:t>unauthorised</w:t>
      </w:r>
      <w:r w:rsidRPr="002B62A2">
        <w:rPr>
          <w:b/>
          <w:bCs/>
        </w:rPr>
        <w:t xml:space="preserve"> access</w:t>
      </w:r>
      <w:r w:rsidRPr="002B62A2">
        <w:t> </w:t>
      </w:r>
    </w:p>
    <w:p w14:paraId="46B58E3B" w14:textId="77777777" w:rsidR="002B62A2" w:rsidRPr="002B62A2" w:rsidRDefault="002B62A2" w:rsidP="002B62A2">
      <w:pPr>
        <w:numPr>
          <w:ilvl w:val="1"/>
          <w:numId w:val="16"/>
        </w:numPr>
      </w:pPr>
      <w:r w:rsidRPr="002B62A2">
        <w:t>Shredding only needs to cover personal data such as names and signatures, not non-identifiable content like photos of kitchens.</w:t>
      </w:r>
    </w:p>
    <w:p w14:paraId="3E1E5AC1" w14:textId="77777777" w:rsidR="002B62A2" w:rsidRPr="002B62A2" w:rsidRDefault="002B62A2" w:rsidP="002B62A2">
      <w:pPr>
        <w:numPr>
          <w:ilvl w:val="1"/>
          <w:numId w:val="16"/>
        </w:numPr>
      </w:pPr>
      <w:r w:rsidRPr="002B62A2">
        <w:t>Improper disposal risks regulatory attention and damages customer trust.</w:t>
      </w:r>
    </w:p>
    <w:p w14:paraId="2D8C787A" w14:textId="77777777" w:rsidR="002B62A2" w:rsidRPr="002B62A2" w:rsidRDefault="002B62A2" w:rsidP="002B62A2">
      <w:pPr>
        <w:numPr>
          <w:ilvl w:val="1"/>
          <w:numId w:val="16"/>
        </w:numPr>
      </w:pPr>
      <w:r w:rsidRPr="002B62A2">
        <w:t>Using confidential waste services or secure shredders aligns with best practice and legal expectations.</w:t>
      </w:r>
    </w:p>
    <w:p w14:paraId="00F6BC69" w14:textId="77777777" w:rsidR="002B62A2" w:rsidRPr="002B62A2" w:rsidRDefault="002B62A2" w:rsidP="002B62A2">
      <w:pPr>
        <w:numPr>
          <w:ilvl w:val="1"/>
          <w:numId w:val="16"/>
        </w:numPr>
      </w:pPr>
      <w:r w:rsidRPr="002B62A2">
        <w:t>These operational details support overall data protection compliance and reputational protection.</w:t>
      </w:r>
    </w:p>
    <w:p w14:paraId="14A6C4B1" w14:textId="77777777" w:rsidR="002B62A2" w:rsidRPr="002B62A2" w:rsidRDefault="002B62A2" w:rsidP="002B62A2">
      <w:pPr>
        <w:pStyle w:val="Heading2"/>
      </w:pPr>
      <w:r w:rsidRPr="002B62A2">
        <w:t>Registration, Fees, and Legislative Updates</w:t>
      </w:r>
    </w:p>
    <w:p w14:paraId="5CD464C9" w14:textId="77777777" w:rsidR="002B62A2" w:rsidRPr="002B62A2" w:rsidRDefault="002B62A2" w:rsidP="002B62A2">
      <w:r w:rsidRPr="002B62A2">
        <w:t>Compliance includes understanding registration requirements and staying current with legal changes.</w:t>
      </w:r>
    </w:p>
    <w:p w14:paraId="5B2B57FC" w14:textId="5E2D9C89" w:rsidR="002B62A2" w:rsidRPr="002B62A2" w:rsidRDefault="002B62A2" w:rsidP="002B62A2">
      <w:pPr>
        <w:numPr>
          <w:ilvl w:val="0"/>
          <w:numId w:val="17"/>
        </w:numPr>
      </w:pPr>
      <w:r w:rsidRPr="002B62A2">
        <w:rPr>
          <w:b/>
          <w:bCs/>
        </w:rPr>
        <w:t xml:space="preserve">Rob explained that most </w:t>
      </w:r>
      <w:r>
        <w:rPr>
          <w:b/>
          <w:bCs/>
        </w:rPr>
        <w:t>organisations</w:t>
      </w:r>
      <w:r w:rsidRPr="002B62A2">
        <w:rPr>
          <w:b/>
          <w:bCs/>
        </w:rPr>
        <w:t xml:space="preserve"> processing personal data electronically must pay an annual fee, currently £52 for many UK businesses, but exemptions exist for smaller entities</w:t>
      </w:r>
      <w:r w:rsidRPr="002B62A2">
        <w:t> </w:t>
      </w:r>
    </w:p>
    <w:p w14:paraId="28DB425A" w14:textId="77777777" w:rsidR="002B62A2" w:rsidRPr="002B62A2" w:rsidRDefault="002B62A2" w:rsidP="002B62A2">
      <w:pPr>
        <w:numPr>
          <w:ilvl w:val="1"/>
          <w:numId w:val="17"/>
        </w:numPr>
      </w:pPr>
      <w:r w:rsidRPr="002B62A2">
        <w:t>Registration depends on data type, processing activities, and business size; the ICO provides a free self-assessment tool to determine requirements.</w:t>
      </w:r>
    </w:p>
    <w:p w14:paraId="7E8D4E6F" w14:textId="77777777" w:rsidR="002B62A2" w:rsidRPr="002B62A2" w:rsidRDefault="002B62A2" w:rsidP="002B62A2">
      <w:pPr>
        <w:numPr>
          <w:ilvl w:val="1"/>
          <w:numId w:val="17"/>
        </w:numPr>
      </w:pPr>
      <w:r w:rsidRPr="002B62A2">
        <w:t>Having CCTV on premises triggers mandatory registration regardless of other exemptions.</w:t>
      </w:r>
    </w:p>
    <w:p w14:paraId="0E06ED11" w14:textId="77777777" w:rsidR="002B62A2" w:rsidRPr="002B62A2" w:rsidRDefault="002B62A2" w:rsidP="002B62A2">
      <w:pPr>
        <w:numPr>
          <w:ilvl w:val="1"/>
          <w:numId w:val="17"/>
        </w:numPr>
      </w:pPr>
      <w:r w:rsidRPr="002B62A2">
        <w:t>Fee income funds ICO activities, including advice and training sessions like this one.</w:t>
      </w:r>
    </w:p>
    <w:p w14:paraId="3AC158A7" w14:textId="77777777" w:rsidR="002B62A2" w:rsidRPr="002B62A2" w:rsidRDefault="002B62A2" w:rsidP="002B62A2">
      <w:pPr>
        <w:numPr>
          <w:ilvl w:val="1"/>
          <w:numId w:val="17"/>
        </w:numPr>
      </w:pPr>
      <w:r w:rsidRPr="002B62A2">
        <w:lastRenderedPageBreak/>
        <w:t>This system balances regulatory costs with support services for businesses.</w:t>
      </w:r>
    </w:p>
    <w:p w14:paraId="26DA4C75" w14:textId="77777777" w:rsidR="002B62A2" w:rsidRPr="002B62A2" w:rsidRDefault="002B62A2" w:rsidP="002B62A2">
      <w:pPr>
        <w:numPr>
          <w:ilvl w:val="0"/>
          <w:numId w:val="17"/>
        </w:numPr>
      </w:pPr>
      <w:r w:rsidRPr="002B62A2">
        <w:rPr>
          <w:b/>
          <w:bCs/>
        </w:rPr>
        <w:t xml:space="preserve">Rob briefly introduced two recent legislative changes affecting data handling: </w:t>
      </w:r>
    </w:p>
    <w:p w14:paraId="5205FA41" w14:textId="088ECDBD" w:rsidR="002B62A2" w:rsidRPr="002B62A2" w:rsidRDefault="002B62A2" w:rsidP="002B62A2">
      <w:pPr>
        <w:numPr>
          <w:ilvl w:val="1"/>
          <w:numId w:val="17"/>
        </w:numPr>
      </w:pPr>
      <w:r w:rsidRPr="002B62A2">
        <w:t>the Data Use and Access Act 2025 and the Renters Rights Act</w:t>
      </w:r>
    </w:p>
    <w:p w14:paraId="1DAF72FF" w14:textId="77777777" w:rsidR="002B62A2" w:rsidRPr="002B62A2" w:rsidRDefault="002B62A2" w:rsidP="002B62A2">
      <w:pPr>
        <w:numPr>
          <w:ilvl w:val="1"/>
          <w:numId w:val="17"/>
        </w:numPr>
      </w:pPr>
      <w:r w:rsidRPr="002B62A2">
        <w:t>The Data Use and Access Act updates transparency and accountability in data sharing in phases through next year.</w:t>
      </w:r>
    </w:p>
    <w:p w14:paraId="6EDB6EDC" w14:textId="77777777" w:rsidR="002B62A2" w:rsidRPr="002B62A2" w:rsidRDefault="002B62A2" w:rsidP="002B62A2">
      <w:pPr>
        <w:numPr>
          <w:ilvl w:val="1"/>
          <w:numId w:val="17"/>
        </w:numPr>
      </w:pPr>
      <w:r w:rsidRPr="002B62A2">
        <w:t>The Renters Rights Act strengthens tenant protections, impacting landlords and letting agents’ data responsibilities.</w:t>
      </w:r>
    </w:p>
    <w:p w14:paraId="7338E009" w14:textId="77777777" w:rsidR="002B62A2" w:rsidRPr="002B62A2" w:rsidRDefault="002B62A2" w:rsidP="002B62A2">
      <w:pPr>
        <w:numPr>
          <w:ilvl w:val="1"/>
          <w:numId w:val="17"/>
        </w:numPr>
      </w:pPr>
      <w:r w:rsidRPr="002B62A2">
        <w:t>The ICO monitors these changes and updates guidance regularly, encouraging businesses to stay informed via their website.</w:t>
      </w:r>
    </w:p>
    <w:p w14:paraId="67F7ABAF" w14:textId="77777777" w:rsidR="002B62A2" w:rsidRPr="002B62A2" w:rsidRDefault="002B62A2" w:rsidP="002B62A2">
      <w:pPr>
        <w:numPr>
          <w:ilvl w:val="1"/>
          <w:numId w:val="17"/>
        </w:numPr>
      </w:pPr>
      <w:r w:rsidRPr="002B62A2">
        <w:t>Awareness of evolving laws supports proactive compliance and risk management.</w:t>
      </w:r>
    </w:p>
    <w:p w14:paraId="6C2F344F" w14:textId="77777777" w:rsidR="002B62A2" w:rsidRPr="002B62A2" w:rsidRDefault="002B62A2" w:rsidP="002B62A2"/>
    <w:sectPr w:rsidR="002B62A2" w:rsidRPr="002B6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00D"/>
    <w:multiLevelType w:val="multilevel"/>
    <w:tmpl w:val="B024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57102"/>
    <w:multiLevelType w:val="multilevel"/>
    <w:tmpl w:val="58FC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7905"/>
    <w:multiLevelType w:val="multilevel"/>
    <w:tmpl w:val="F89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17050"/>
    <w:multiLevelType w:val="multilevel"/>
    <w:tmpl w:val="1DF2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20196"/>
    <w:multiLevelType w:val="multilevel"/>
    <w:tmpl w:val="E89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33B66"/>
    <w:multiLevelType w:val="multilevel"/>
    <w:tmpl w:val="F53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949AB"/>
    <w:multiLevelType w:val="multilevel"/>
    <w:tmpl w:val="E850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92051"/>
    <w:multiLevelType w:val="multilevel"/>
    <w:tmpl w:val="D5A2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655A8"/>
    <w:multiLevelType w:val="multilevel"/>
    <w:tmpl w:val="AF40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24AC6"/>
    <w:multiLevelType w:val="multilevel"/>
    <w:tmpl w:val="C5EE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D2EB1"/>
    <w:multiLevelType w:val="multilevel"/>
    <w:tmpl w:val="03DC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395C61"/>
    <w:multiLevelType w:val="multilevel"/>
    <w:tmpl w:val="7D4A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026AD"/>
    <w:multiLevelType w:val="multilevel"/>
    <w:tmpl w:val="EC52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E0A57"/>
    <w:multiLevelType w:val="multilevel"/>
    <w:tmpl w:val="ACFE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C333B0"/>
    <w:multiLevelType w:val="multilevel"/>
    <w:tmpl w:val="6200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32CC5"/>
    <w:multiLevelType w:val="multilevel"/>
    <w:tmpl w:val="90C8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AE1A8C"/>
    <w:multiLevelType w:val="multilevel"/>
    <w:tmpl w:val="65AA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76DE5"/>
    <w:multiLevelType w:val="multilevel"/>
    <w:tmpl w:val="975E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B54AD"/>
    <w:multiLevelType w:val="multilevel"/>
    <w:tmpl w:val="91A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1639B"/>
    <w:multiLevelType w:val="multilevel"/>
    <w:tmpl w:val="00B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296059">
    <w:abstractNumId w:val="11"/>
  </w:num>
  <w:num w:numId="2" w16cid:durableId="1187518491">
    <w:abstractNumId w:val="2"/>
  </w:num>
  <w:num w:numId="3" w16cid:durableId="10112385">
    <w:abstractNumId w:val="16"/>
  </w:num>
  <w:num w:numId="4" w16cid:durableId="1413698533">
    <w:abstractNumId w:val="6"/>
  </w:num>
  <w:num w:numId="5" w16cid:durableId="1136335357">
    <w:abstractNumId w:val="8"/>
  </w:num>
  <w:num w:numId="6" w16cid:durableId="1929652033">
    <w:abstractNumId w:val="10"/>
  </w:num>
  <w:num w:numId="7" w16cid:durableId="415202398">
    <w:abstractNumId w:val="3"/>
  </w:num>
  <w:num w:numId="8" w16cid:durableId="2055421824">
    <w:abstractNumId w:val="18"/>
  </w:num>
  <w:num w:numId="9" w16cid:durableId="1104617425">
    <w:abstractNumId w:val="15"/>
  </w:num>
  <w:num w:numId="10" w16cid:durableId="1523085757">
    <w:abstractNumId w:val="14"/>
  </w:num>
  <w:num w:numId="11" w16cid:durableId="1625499906">
    <w:abstractNumId w:val="5"/>
  </w:num>
  <w:num w:numId="12" w16cid:durableId="446892437">
    <w:abstractNumId w:val="17"/>
  </w:num>
  <w:num w:numId="13" w16cid:durableId="117721006">
    <w:abstractNumId w:val="9"/>
  </w:num>
  <w:num w:numId="14" w16cid:durableId="1895458916">
    <w:abstractNumId w:val="4"/>
  </w:num>
  <w:num w:numId="15" w16cid:durableId="393281990">
    <w:abstractNumId w:val="1"/>
  </w:num>
  <w:num w:numId="16" w16cid:durableId="511190155">
    <w:abstractNumId w:val="12"/>
  </w:num>
  <w:num w:numId="17" w16cid:durableId="778640715">
    <w:abstractNumId w:val="7"/>
  </w:num>
  <w:num w:numId="18" w16cid:durableId="1733384139">
    <w:abstractNumId w:val="0"/>
  </w:num>
  <w:num w:numId="19" w16cid:durableId="151064799">
    <w:abstractNumId w:val="13"/>
  </w:num>
  <w:num w:numId="20" w16cid:durableId="12708189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A2"/>
    <w:rsid w:val="00065D7A"/>
    <w:rsid w:val="002B62A2"/>
    <w:rsid w:val="002C1A38"/>
    <w:rsid w:val="003469A4"/>
    <w:rsid w:val="00734CAF"/>
    <w:rsid w:val="00C0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1C185"/>
  <w15:chartTrackingRefBased/>
  <w15:docId w15:val="{600BC99F-A63B-4BB6-8143-39F59102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ghtH1">
    <w:name w:val="Bright H1"/>
    <w:basedOn w:val="Heading1"/>
    <w:link w:val="BrightH1Char"/>
    <w:qFormat/>
    <w:rsid w:val="002C1A38"/>
    <w:rPr>
      <w:color w:val="F49D00"/>
    </w:rPr>
  </w:style>
  <w:style w:type="character" w:customStyle="1" w:styleId="BrightH1Char">
    <w:name w:val="Bright H1 Char"/>
    <w:basedOn w:val="Heading1Char"/>
    <w:link w:val="BrightH1"/>
    <w:rsid w:val="002C1A38"/>
    <w:rPr>
      <w:rFonts w:asciiTheme="majorHAnsi" w:eastAsiaTheme="majorEastAsia" w:hAnsiTheme="majorHAnsi" w:cstheme="majorBidi"/>
      <w:color w:val="F49D0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C1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BrightH2">
    <w:name w:val="Bright H2"/>
    <w:basedOn w:val="Heading2"/>
    <w:link w:val="BrightH2Char"/>
    <w:qFormat/>
    <w:rsid w:val="002C1A38"/>
    <w:rPr>
      <w:color w:val="1C2E52"/>
    </w:rPr>
  </w:style>
  <w:style w:type="character" w:customStyle="1" w:styleId="BrightH2Char">
    <w:name w:val="Bright H2 Char"/>
    <w:basedOn w:val="Heading2Char"/>
    <w:link w:val="BrightH2"/>
    <w:rsid w:val="002C1A38"/>
    <w:rPr>
      <w:rFonts w:asciiTheme="majorHAnsi" w:eastAsiaTheme="majorEastAsia" w:hAnsiTheme="majorHAnsi" w:cstheme="majorBidi"/>
      <w:color w:val="1C2E5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1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1044</Words>
  <Characters>6434</Characters>
  <Application>Microsoft Office Word</Application>
  <DocSecurity>0</DocSecurity>
  <Lines>136</Lines>
  <Paragraphs>80</Paragraphs>
  <ScaleCrop>false</ScaleCrop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Chairperson @ AIIC</dc:creator>
  <cp:keywords/>
  <dc:description/>
  <cp:lastModifiedBy>Chairperson @ AIIC</cp:lastModifiedBy>
  <cp:revision>1</cp:revision>
  <dcterms:created xsi:type="dcterms:W3CDTF">2025-11-20T15:13:00Z</dcterms:created>
  <dcterms:modified xsi:type="dcterms:W3CDTF">2025-11-20T15:24:00Z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1435171a-d9ac-46d8-ab74-5f8c3381e0a9</vt:lpwstr>
  </property>
</Properties>
</file>