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47A05C" w14:textId="09736FB5" w:rsidR="001E4430" w:rsidRDefault="001E4430" w:rsidP="001E4430">
      <w:pPr>
        <w:pStyle w:val="Heading1"/>
      </w:pPr>
      <w:r>
        <w:t>L</w:t>
      </w:r>
      <w:r w:rsidRPr="001E4430">
        <w:t xml:space="preserve">ight-touch </w:t>
      </w:r>
      <w:r>
        <w:t xml:space="preserve">Data </w:t>
      </w:r>
      <w:r w:rsidRPr="001E4430">
        <w:t>Retention Policy</w:t>
      </w:r>
    </w:p>
    <w:p w14:paraId="47AA5740" w14:textId="7E34B053" w:rsidR="001E4430" w:rsidRPr="001E4430" w:rsidRDefault="001E4430" w:rsidP="001E4430">
      <w:r w:rsidRPr="001E4430">
        <w:t xml:space="preserve">Below is a </w:t>
      </w:r>
      <w:r w:rsidRPr="001E4430">
        <w:rPr>
          <w:b/>
          <w:bCs/>
        </w:rPr>
        <w:t>short, light-touch Retention Policy</w:t>
      </w:r>
      <w:r w:rsidRPr="001E4430">
        <w:t>, written specifically for independent inventory clerks and fully aligned with the ICO’s guidance for small organisations. It includes placeholders you can customise.</w:t>
      </w:r>
      <w:r w:rsidRPr="001E4430">
        <w:t xml:space="preserve"> </w:t>
      </w:r>
      <w:r w:rsidRPr="001E4430">
        <w:t>Policy</w:t>
      </w:r>
    </w:p>
    <w:p w14:paraId="6CE21BBF" w14:textId="77777777" w:rsidR="001E4430" w:rsidRPr="001E4430" w:rsidRDefault="001E4430" w:rsidP="001E4430">
      <w:r w:rsidRPr="001E4430">
        <w:pict w14:anchorId="55BEA7FB">
          <v:rect id="_x0000_i1067" style="width:0;height:1.5pt" o:hralign="center" o:hrstd="t" o:hr="t" fillcolor="#a0a0a0" stroked="f"/>
        </w:pict>
      </w:r>
    </w:p>
    <w:p w14:paraId="394F6500" w14:textId="67DD8427" w:rsidR="001E4430" w:rsidRPr="001E4430" w:rsidRDefault="001E4430" w:rsidP="001E4430">
      <w:pPr>
        <w:rPr>
          <w:b/>
          <w:bCs/>
        </w:rPr>
      </w:pPr>
      <w:r w:rsidRPr="001E4430">
        <w:rPr>
          <w:b/>
          <w:bCs/>
        </w:rPr>
        <w:t>Retention Policy</w:t>
      </w:r>
    </w:p>
    <w:p w14:paraId="35E27928" w14:textId="77777777" w:rsidR="001E4430" w:rsidRPr="001E4430" w:rsidRDefault="001E4430" w:rsidP="001E4430">
      <w:r w:rsidRPr="001E4430">
        <w:rPr>
          <w:i/>
          <w:iCs/>
        </w:rPr>
        <w:t>For independent inventory clerks, landlords and letting agents</w:t>
      </w:r>
    </w:p>
    <w:p w14:paraId="4C4ECA4C" w14:textId="59687A5C" w:rsidR="001E4430" w:rsidRPr="001E4430" w:rsidRDefault="001E4430" w:rsidP="001E4430">
      <w:r w:rsidRPr="001E4430">
        <w:rPr>
          <w:b/>
          <w:bCs/>
        </w:rPr>
        <w:t>1. Purpose of this Policy</w:t>
      </w:r>
      <w:r w:rsidRPr="001E4430">
        <w:br/>
        <w:t xml:space="preserve">This Retention Policy explains how long </w:t>
      </w:r>
      <w:r w:rsidRPr="001E4430">
        <w:rPr>
          <w:b/>
          <w:bCs/>
          <w:highlight w:val="yellow"/>
        </w:rPr>
        <w:t>[</w:t>
      </w:r>
      <w:r w:rsidRPr="001E4430">
        <w:rPr>
          <w:b/>
          <w:bCs/>
          <w:highlight w:val="yellow"/>
        </w:rPr>
        <w:t>Your company name here</w:t>
      </w:r>
      <w:r w:rsidRPr="001E4430">
        <w:rPr>
          <w:b/>
          <w:bCs/>
          <w:highlight w:val="yellow"/>
        </w:rPr>
        <w:t>]</w:t>
      </w:r>
      <w:r w:rsidRPr="001E4430">
        <w:t xml:space="preserve"> keeps personal data collected during the course of providing inventory, check-in, mid-term and check-out services. It is intended to be simple, proportionate, and compliant with UK GDPR.</w:t>
      </w:r>
    </w:p>
    <w:p w14:paraId="05B3AC7D" w14:textId="77777777" w:rsidR="001E4430" w:rsidRPr="001E4430" w:rsidRDefault="001E4430" w:rsidP="001E4430">
      <w:r w:rsidRPr="001E4430">
        <w:pict w14:anchorId="0E3F2FD0">
          <v:rect id="_x0000_i1068" style="width:0;height:1.5pt" o:hralign="center" o:hrstd="t" o:hr="t" fillcolor="#a0a0a0" stroked="f"/>
        </w:pict>
      </w:r>
    </w:p>
    <w:p w14:paraId="58ECF9F2" w14:textId="77777777" w:rsidR="001E4430" w:rsidRPr="001E4430" w:rsidRDefault="001E4430" w:rsidP="001E4430">
      <w:pPr>
        <w:rPr>
          <w:b/>
          <w:bCs/>
        </w:rPr>
      </w:pPr>
      <w:r w:rsidRPr="001E4430">
        <w:rPr>
          <w:b/>
          <w:bCs/>
        </w:rPr>
        <w:t>2. Types of Data We Hold and How Long We Keep It</w:t>
      </w:r>
    </w:p>
    <w:p w14:paraId="163D9E25" w14:textId="77777777" w:rsidR="001E4430" w:rsidRPr="001E4430" w:rsidRDefault="001E4430" w:rsidP="001E4430">
      <w:pPr>
        <w:rPr>
          <w:b/>
          <w:bCs/>
        </w:rPr>
      </w:pPr>
      <w:r w:rsidRPr="001E4430">
        <w:rPr>
          <w:b/>
          <w:bCs/>
        </w:rPr>
        <w:t>2.1 Inventory Reports, Check-In, Mid-Term and Check-Out Reports</w:t>
      </w:r>
    </w:p>
    <w:p w14:paraId="54E8B420" w14:textId="244C9DE4" w:rsidR="001E4430" w:rsidRPr="001E4430" w:rsidRDefault="001E4430" w:rsidP="001E4430">
      <w:r w:rsidRPr="001E4430">
        <w:t>These reports contain property information, photographs, and may occasionally include personal items within images.</w:t>
      </w:r>
      <w:r w:rsidRPr="001E4430">
        <w:br/>
      </w:r>
      <w:r w:rsidRPr="001E4430">
        <w:rPr>
          <w:b/>
          <w:bCs/>
        </w:rPr>
        <w:t>Retention period:</w:t>
      </w:r>
      <w:r w:rsidRPr="001E4430">
        <w:t xml:space="preserve"> </w:t>
      </w:r>
      <w:r>
        <w:t>[</w:t>
      </w:r>
      <w:r w:rsidRPr="001E4430">
        <w:rPr>
          <w:i/>
          <w:iCs/>
          <w:highlight w:val="yellow"/>
        </w:rPr>
        <w:t>Up to 6 years</w:t>
      </w:r>
      <w:r>
        <w:rPr>
          <w:i/>
          <w:iCs/>
          <w:highlight w:val="yellow"/>
        </w:rPr>
        <w:t>]</w:t>
      </w:r>
      <w:r w:rsidRPr="001E4430">
        <w:rPr>
          <w:highlight w:val="yellow"/>
        </w:rPr>
        <w:t>,</w:t>
      </w:r>
      <w:r w:rsidRPr="001E4430">
        <w:t xml:space="preserve"> to align with tenancy dispute timeframes, deposit scheme evidence requirements, and standard limitation periods.</w:t>
      </w:r>
      <w:r w:rsidRPr="001E4430">
        <w:br/>
        <w:t>After this period, reports and associated images are securely deleted.</w:t>
      </w:r>
    </w:p>
    <w:p w14:paraId="7E5322C9" w14:textId="77777777" w:rsidR="001E4430" w:rsidRPr="001E4430" w:rsidRDefault="001E4430" w:rsidP="001E4430">
      <w:pPr>
        <w:rPr>
          <w:b/>
          <w:bCs/>
        </w:rPr>
      </w:pPr>
      <w:r w:rsidRPr="001E4430">
        <w:rPr>
          <w:b/>
          <w:bCs/>
        </w:rPr>
        <w:t>2.2 Contact Information (Tenants, Landlords, Agents)</w:t>
      </w:r>
    </w:p>
    <w:p w14:paraId="566A8030" w14:textId="2839926D" w:rsidR="001E4430" w:rsidRPr="001E4430" w:rsidRDefault="001E4430" w:rsidP="001E4430">
      <w:r w:rsidRPr="001E4430">
        <w:t>Includes names, phone numbers, email addresses and access details.</w:t>
      </w:r>
      <w:r w:rsidRPr="001E4430">
        <w:br/>
      </w:r>
      <w:r w:rsidRPr="001E4430">
        <w:rPr>
          <w:b/>
          <w:bCs/>
        </w:rPr>
        <w:t>Retention period:</w:t>
      </w:r>
      <w:r w:rsidRPr="001E4430">
        <w:t xml:space="preserve"> </w:t>
      </w:r>
      <w:r w:rsidRPr="001E4430">
        <w:rPr>
          <w:highlight w:val="yellow"/>
        </w:rPr>
        <w:t>[</w:t>
      </w:r>
      <w:r w:rsidRPr="001E4430">
        <w:rPr>
          <w:i/>
          <w:iCs/>
          <w:highlight w:val="yellow"/>
        </w:rPr>
        <w:t>Up to 2 years</w:t>
      </w:r>
      <w:r w:rsidRPr="001E4430">
        <w:rPr>
          <w:i/>
          <w:iCs/>
          <w:highlight w:val="yellow"/>
        </w:rPr>
        <w:t>]</w:t>
      </w:r>
      <w:r w:rsidRPr="001E4430">
        <w:t xml:space="preserve"> after the end of the tenancy or last instruction, unless required for ongoing contractual or legal purposes.</w:t>
      </w:r>
      <w:r w:rsidRPr="001E4430">
        <w:br/>
        <w:t>Data is deleted earlier if no longer needed.</w:t>
      </w:r>
    </w:p>
    <w:p w14:paraId="4EC4A55A" w14:textId="77777777" w:rsidR="001E4430" w:rsidRPr="001E4430" w:rsidRDefault="001E4430" w:rsidP="001E4430">
      <w:pPr>
        <w:rPr>
          <w:b/>
          <w:bCs/>
        </w:rPr>
      </w:pPr>
      <w:r w:rsidRPr="001E4430">
        <w:rPr>
          <w:b/>
          <w:bCs/>
        </w:rPr>
        <w:t>2.3 Booking Forms and Instruction Emails</w:t>
      </w:r>
    </w:p>
    <w:p w14:paraId="69084775" w14:textId="5304C4D5" w:rsidR="001E4430" w:rsidRPr="001E4430" w:rsidRDefault="001E4430" w:rsidP="001E4430">
      <w:r w:rsidRPr="001E4430">
        <w:t>Includes job details, access notes and relevant correspondence.</w:t>
      </w:r>
      <w:r w:rsidRPr="001E4430">
        <w:br/>
      </w:r>
      <w:r w:rsidRPr="001E4430">
        <w:rPr>
          <w:b/>
          <w:bCs/>
        </w:rPr>
        <w:t>Retention period:</w:t>
      </w:r>
      <w:r w:rsidRPr="001E4430">
        <w:t xml:space="preserve"> </w:t>
      </w:r>
      <w:r w:rsidRPr="001E4430">
        <w:rPr>
          <w:highlight w:val="yellow"/>
        </w:rPr>
        <w:t>[</w:t>
      </w:r>
      <w:r w:rsidRPr="001E4430">
        <w:rPr>
          <w:i/>
          <w:iCs/>
          <w:highlight w:val="yellow"/>
        </w:rPr>
        <w:t>Up to 2 years</w:t>
      </w:r>
      <w:r w:rsidRPr="001E4430">
        <w:rPr>
          <w:i/>
          <w:iCs/>
          <w:highlight w:val="yellow"/>
        </w:rPr>
        <w:t>]</w:t>
      </w:r>
      <w:r w:rsidRPr="001E4430">
        <w:t xml:space="preserve"> after completion of the work.</w:t>
      </w:r>
    </w:p>
    <w:p w14:paraId="7DAA4491" w14:textId="77777777" w:rsidR="001E4430" w:rsidRPr="001E4430" w:rsidRDefault="001E4430" w:rsidP="001E4430">
      <w:r w:rsidRPr="001E4430">
        <w:pict w14:anchorId="2919FA0F">
          <v:rect id="_x0000_i1069" style="width:0;height:1.5pt" o:hralign="center" o:hrstd="t" o:hr="t" fillcolor="#a0a0a0" stroked="f"/>
        </w:pict>
      </w:r>
    </w:p>
    <w:p w14:paraId="0815728E" w14:textId="77777777" w:rsidR="001E4430" w:rsidRPr="001E4430" w:rsidRDefault="001E4430" w:rsidP="001E4430">
      <w:pPr>
        <w:rPr>
          <w:b/>
          <w:bCs/>
        </w:rPr>
      </w:pPr>
      <w:r w:rsidRPr="001E4430">
        <w:rPr>
          <w:b/>
          <w:bCs/>
        </w:rPr>
        <w:t>3. Legal or Dispute-Related Extensions</w:t>
      </w:r>
    </w:p>
    <w:p w14:paraId="39D85913" w14:textId="364048FF" w:rsidR="001E4430" w:rsidRPr="001E4430" w:rsidRDefault="001E4430" w:rsidP="001E4430">
      <w:r w:rsidRPr="001E4430">
        <w:t xml:space="preserve">Where information forms part of an active dispute, complaint or legal process, </w:t>
      </w:r>
      <w:r w:rsidRPr="001E4430">
        <w:rPr>
          <w:b/>
          <w:bCs/>
          <w:highlight w:val="yellow"/>
        </w:rPr>
        <w:t>[</w:t>
      </w:r>
      <w:r w:rsidRPr="001E4430">
        <w:rPr>
          <w:b/>
          <w:bCs/>
          <w:highlight w:val="yellow"/>
        </w:rPr>
        <w:t>Your company name here</w:t>
      </w:r>
      <w:r w:rsidRPr="001E4430">
        <w:rPr>
          <w:b/>
          <w:bCs/>
          <w:highlight w:val="yellow"/>
        </w:rPr>
        <w:t>]</w:t>
      </w:r>
      <w:r w:rsidRPr="001E4430">
        <w:t xml:space="preserve"> may retain that data until the matter is resolved, even if this exceeds the retention periods above.</w:t>
      </w:r>
    </w:p>
    <w:p w14:paraId="3BDDFD2D" w14:textId="77777777" w:rsidR="001E4430" w:rsidRPr="001E4430" w:rsidRDefault="001E4430" w:rsidP="001E4430">
      <w:r w:rsidRPr="001E4430">
        <w:lastRenderedPageBreak/>
        <w:pict w14:anchorId="649ACD77">
          <v:rect id="_x0000_i1070" style="width:0;height:1.5pt" o:hralign="center" o:hrstd="t" o:hr="t" fillcolor="#a0a0a0" stroked="f"/>
        </w:pict>
      </w:r>
    </w:p>
    <w:p w14:paraId="4E4687EE" w14:textId="77777777" w:rsidR="001E4430" w:rsidRPr="001E4430" w:rsidRDefault="001E4430" w:rsidP="001E4430">
      <w:pPr>
        <w:rPr>
          <w:b/>
          <w:bCs/>
        </w:rPr>
      </w:pPr>
      <w:r w:rsidRPr="001E4430">
        <w:rPr>
          <w:b/>
          <w:bCs/>
        </w:rPr>
        <w:t>4. How Data Is Deleted</w:t>
      </w:r>
    </w:p>
    <w:p w14:paraId="02D99479" w14:textId="77777777" w:rsidR="001E4430" w:rsidRPr="001E4430" w:rsidRDefault="001E4430" w:rsidP="001E4430">
      <w:r w:rsidRPr="001E4430">
        <w:t>At the end of the retention period, data is deleted securely from:</w:t>
      </w:r>
    </w:p>
    <w:p w14:paraId="7021A5B8" w14:textId="77777777" w:rsidR="001E4430" w:rsidRPr="001E4430" w:rsidRDefault="001E4430" w:rsidP="001E4430">
      <w:pPr>
        <w:numPr>
          <w:ilvl w:val="0"/>
          <w:numId w:val="1"/>
        </w:numPr>
      </w:pPr>
      <w:r w:rsidRPr="001E4430">
        <w:t>Report-writing or inspection software</w:t>
      </w:r>
    </w:p>
    <w:p w14:paraId="55DF73CA" w14:textId="77777777" w:rsidR="001E4430" w:rsidRPr="001E4430" w:rsidRDefault="001E4430" w:rsidP="001E4430">
      <w:pPr>
        <w:numPr>
          <w:ilvl w:val="0"/>
          <w:numId w:val="1"/>
        </w:numPr>
      </w:pPr>
      <w:r w:rsidRPr="001E4430">
        <w:t>Cloud storage systems</w:t>
      </w:r>
    </w:p>
    <w:p w14:paraId="7869E52B" w14:textId="77777777" w:rsidR="001E4430" w:rsidRPr="001E4430" w:rsidRDefault="001E4430" w:rsidP="001E4430">
      <w:pPr>
        <w:numPr>
          <w:ilvl w:val="0"/>
          <w:numId w:val="1"/>
        </w:numPr>
      </w:pPr>
      <w:r w:rsidRPr="001E4430">
        <w:t>Email accounts and archived folders</w:t>
      </w:r>
    </w:p>
    <w:p w14:paraId="1189AC31" w14:textId="77777777" w:rsidR="001E4430" w:rsidRPr="001E4430" w:rsidRDefault="001E4430" w:rsidP="001E4430">
      <w:pPr>
        <w:numPr>
          <w:ilvl w:val="0"/>
          <w:numId w:val="1"/>
        </w:numPr>
      </w:pPr>
      <w:r w:rsidRPr="001E4430">
        <w:t>External hard drives or mobile devices used for site work</w:t>
      </w:r>
    </w:p>
    <w:p w14:paraId="699F9A28" w14:textId="77777777" w:rsidR="001E4430" w:rsidRPr="001E4430" w:rsidRDefault="001E4430" w:rsidP="001E4430">
      <w:r w:rsidRPr="001E4430">
        <w:t>Deletion is carried out in a way that prevents recovery.</w:t>
      </w:r>
    </w:p>
    <w:p w14:paraId="2AE9DFE0" w14:textId="77777777" w:rsidR="001E4430" w:rsidRPr="001E4430" w:rsidRDefault="001E4430" w:rsidP="001E4430">
      <w:r w:rsidRPr="001E4430">
        <w:pict w14:anchorId="21C93B07">
          <v:rect id="_x0000_i1071" style="width:0;height:1.5pt" o:hralign="center" o:hrstd="t" o:hr="t" fillcolor="#a0a0a0" stroked="f"/>
        </w:pict>
      </w:r>
    </w:p>
    <w:p w14:paraId="693E6B11" w14:textId="77777777" w:rsidR="001E4430" w:rsidRPr="001E4430" w:rsidRDefault="001E4430" w:rsidP="001E4430">
      <w:pPr>
        <w:rPr>
          <w:b/>
          <w:bCs/>
        </w:rPr>
      </w:pPr>
      <w:r w:rsidRPr="001E4430">
        <w:rPr>
          <w:b/>
          <w:bCs/>
        </w:rPr>
        <w:t>5. Your Right to Request Deletion</w:t>
      </w:r>
    </w:p>
    <w:p w14:paraId="1A9E4B16" w14:textId="13BBDCFD" w:rsidR="001E4430" w:rsidRPr="001E4430" w:rsidRDefault="001E4430" w:rsidP="001E4430">
      <w:r w:rsidRPr="001E4430">
        <w:t>Individuals may request deletion of their personal data at any time.</w:t>
      </w:r>
      <w:r w:rsidRPr="001E4430">
        <w:br/>
        <w:t xml:space="preserve">Where the data is not required for legal, contractual, or dispute-resolution purposes, </w:t>
      </w:r>
      <w:r w:rsidRPr="001E4430">
        <w:rPr>
          <w:b/>
          <w:bCs/>
          <w:highlight w:val="yellow"/>
        </w:rPr>
        <w:t>[</w:t>
      </w:r>
      <w:r w:rsidRPr="001E4430">
        <w:rPr>
          <w:b/>
          <w:bCs/>
          <w:highlight w:val="yellow"/>
        </w:rPr>
        <w:t>Your company name here</w:t>
      </w:r>
      <w:r w:rsidRPr="001E4430">
        <w:rPr>
          <w:b/>
          <w:bCs/>
          <w:highlight w:val="yellow"/>
        </w:rPr>
        <w:t>]</w:t>
      </w:r>
      <w:r w:rsidRPr="001E4430">
        <w:t xml:space="preserve"> will delete it promptly.</w:t>
      </w:r>
    </w:p>
    <w:p w14:paraId="45B351A6" w14:textId="77777777" w:rsidR="001E4430" w:rsidRPr="001E4430" w:rsidRDefault="001E4430" w:rsidP="001E4430">
      <w:r w:rsidRPr="001E4430">
        <w:pict w14:anchorId="3FEA4B7E">
          <v:rect id="_x0000_i1072" style="width:0;height:1.5pt" o:hralign="center" o:hrstd="t" o:hr="t" fillcolor="#a0a0a0" stroked="f"/>
        </w:pict>
      </w:r>
    </w:p>
    <w:p w14:paraId="0B503229" w14:textId="77777777" w:rsidR="001E4430" w:rsidRPr="001E4430" w:rsidRDefault="001E4430" w:rsidP="001E4430">
      <w:pPr>
        <w:rPr>
          <w:b/>
          <w:bCs/>
        </w:rPr>
      </w:pPr>
      <w:r w:rsidRPr="001E4430">
        <w:rPr>
          <w:b/>
          <w:bCs/>
        </w:rPr>
        <w:t>6. Review and Updates</w:t>
      </w:r>
    </w:p>
    <w:p w14:paraId="1EA1151B" w14:textId="77777777" w:rsidR="001E4430" w:rsidRPr="001E4430" w:rsidRDefault="001E4430" w:rsidP="001E4430">
      <w:r w:rsidRPr="001E4430">
        <w:t>This policy is reviewed annually or when legislation or business needs change.</w:t>
      </w:r>
      <w:r w:rsidRPr="001E4430">
        <w:br/>
        <w:t>Members should update the above placeholders and timings to reflect their own business practices.</w:t>
      </w:r>
    </w:p>
    <w:p w14:paraId="24B367DB" w14:textId="77777777" w:rsidR="001E4430" w:rsidRPr="001E4430" w:rsidRDefault="001E4430" w:rsidP="001E4430">
      <w:r w:rsidRPr="001E4430">
        <w:pict w14:anchorId="1A5EF359">
          <v:rect id="_x0000_i1073" style="width:0;height:1.5pt" o:hralign="center" o:hrstd="t" o:hr="t" fillcolor="#a0a0a0" stroked="f"/>
        </w:pict>
      </w:r>
    </w:p>
    <w:p w14:paraId="3C78FE63" w14:textId="77777777" w:rsidR="001E4430" w:rsidRDefault="001E4430">
      <w:pPr>
        <w:rPr>
          <w:i/>
          <w:iCs/>
        </w:rPr>
      </w:pPr>
      <w:r>
        <w:rPr>
          <w:i/>
          <w:iCs/>
        </w:rPr>
        <w:t>Members should adapt this for their own use.</w:t>
      </w:r>
    </w:p>
    <w:p w14:paraId="4F440C57" w14:textId="41C84E84" w:rsidR="00065D7A" w:rsidRPr="001E4430" w:rsidRDefault="001E4430">
      <w:pPr>
        <w:rPr>
          <w:i/>
          <w:iCs/>
        </w:rPr>
      </w:pPr>
      <w:r>
        <w:rPr>
          <w:i/>
          <w:iCs/>
        </w:rPr>
        <w:br/>
      </w:r>
      <w:r w:rsidRPr="001E4430">
        <w:rPr>
          <w:b/>
          <w:bCs/>
          <w:i/>
          <w:iCs/>
        </w:rPr>
        <w:t>Disclaimer:</w:t>
      </w:r>
      <w:r w:rsidRPr="001E4430">
        <w:rPr>
          <w:i/>
          <w:iCs/>
        </w:rPr>
        <w:br/>
        <w:t>The Association of Independent Inventory Clerks (AIIC) provides this template for general guidance only. It does not constitute legal advice and may not be suitable for every business. Members are responsible for ensuring that any document they adopt or adapt meets their own legal, operational, and compliance requirements. The AIIC accepts no liability for any loss, damage, or consequences arising from the use, modification, or reliance upon this template.</w:t>
      </w:r>
    </w:p>
    <w:sectPr w:rsidR="00065D7A" w:rsidRPr="001E443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6D3EEB"/>
    <w:multiLevelType w:val="multilevel"/>
    <w:tmpl w:val="09FAF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744800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430"/>
    <w:rsid w:val="00065D7A"/>
    <w:rsid w:val="001E4430"/>
    <w:rsid w:val="002C1A38"/>
    <w:rsid w:val="003D0696"/>
    <w:rsid w:val="00734CAF"/>
    <w:rsid w:val="00C059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5656BDA"/>
  <w15:chartTrackingRefBased/>
  <w15:docId w15:val="{DF8A21AD-B2DB-4B34-B288-DA9F35452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C1A3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C1A3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E4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E4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E4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E4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E4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E4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E4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rightH1">
    <w:name w:val="Bright H1"/>
    <w:basedOn w:val="Heading1"/>
    <w:link w:val="BrightH1Char"/>
    <w:qFormat/>
    <w:rsid w:val="002C1A38"/>
    <w:rPr>
      <w:color w:val="F49D00"/>
    </w:rPr>
  </w:style>
  <w:style w:type="character" w:customStyle="1" w:styleId="BrightH1Char">
    <w:name w:val="Bright H1 Char"/>
    <w:basedOn w:val="Heading1Char"/>
    <w:link w:val="BrightH1"/>
    <w:rsid w:val="002C1A38"/>
    <w:rPr>
      <w:rFonts w:asciiTheme="majorHAnsi" w:eastAsiaTheme="majorEastAsia" w:hAnsiTheme="majorHAnsi" w:cstheme="majorBidi"/>
      <w:color w:val="F49D00"/>
      <w:sz w:val="40"/>
      <w:szCs w:val="40"/>
    </w:rPr>
  </w:style>
  <w:style w:type="character" w:customStyle="1" w:styleId="Heading1Char">
    <w:name w:val="Heading 1 Char"/>
    <w:basedOn w:val="DefaultParagraphFont"/>
    <w:link w:val="Heading1"/>
    <w:uiPriority w:val="9"/>
    <w:rsid w:val="002C1A38"/>
    <w:rPr>
      <w:rFonts w:asciiTheme="majorHAnsi" w:eastAsiaTheme="majorEastAsia" w:hAnsiTheme="majorHAnsi" w:cstheme="majorBidi"/>
      <w:color w:val="0F4761" w:themeColor="accent1" w:themeShade="BF"/>
      <w:sz w:val="40"/>
      <w:szCs w:val="40"/>
    </w:rPr>
  </w:style>
  <w:style w:type="paragraph" w:customStyle="1" w:styleId="BrightH2">
    <w:name w:val="Bright H2"/>
    <w:basedOn w:val="Heading2"/>
    <w:link w:val="BrightH2Char"/>
    <w:qFormat/>
    <w:rsid w:val="002C1A38"/>
    <w:rPr>
      <w:color w:val="1C2E52"/>
    </w:rPr>
  </w:style>
  <w:style w:type="character" w:customStyle="1" w:styleId="BrightH2Char">
    <w:name w:val="Bright H2 Char"/>
    <w:basedOn w:val="Heading2Char"/>
    <w:link w:val="BrightH2"/>
    <w:rsid w:val="002C1A38"/>
    <w:rPr>
      <w:rFonts w:asciiTheme="majorHAnsi" w:eastAsiaTheme="majorEastAsia" w:hAnsiTheme="majorHAnsi" w:cstheme="majorBidi"/>
      <w:color w:val="1C2E52"/>
      <w:sz w:val="32"/>
      <w:szCs w:val="32"/>
    </w:rPr>
  </w:style>
  <w:style w:type="character" w:customStyle="1" w:styleId="Heading2Char">
    <w:name w:val="Heading 2 Char"/>
    <w:basedOn w:val="DefaultParagraphFont"/>
    <w:link w:val="Heading2"/>
    <w:uiPriority w:val="9"/>
    <w:semiHidden/>
    <w:rsid w:val="002C1A3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E4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E4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E4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E4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E4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E4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E4430"/>
    <w:rPr>
      <w:rFonts w:eastAsiaTheme="majorEastAsia" w:cstheme="majorBidi"/>
      <w:color w:val="272727" w:themeColor="text1" w:themeTint="D8"/>
    </w:rPr>
  </w:style>
  <w:style w:type="paragraph" w:styleId="Title">
    <w:name w:val="Title"/>
    <w:basedOn w:val="Normal"/>
    <w:next w:val="Normal"/>
    <w:link w:val="TitleChar"/>
    <w:uiPriority w:val="10"/>
    <w:qFormat/>
    <w:rsid w:val="001E4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E4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E4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E4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E4430"/>
    <w:pPr>
      <w:spacing w:before="160"/>
      <w:jc w:val="center"/>
    </w:pPr>
    <w:rPr>
      <w:i/>
      <w:iCs/>
      <w:color w:val="404040" w:themeColor="text1" w:themeTint="BF"/>
    </w:rPr>
  </w:style>
  <w:style w:type="character" w:customStyle="1" w:styleId="QuoteChar">
    <w:name w:val="Quote Char"/>
    <w:basedOn w:val="DefaultParagraphFont"/>
    <w:link w:val="Quote"/>
    <w:uiPriority w:val="29"/>
    <w:rsid w:val="001E4430"/>
    <w:rPr>
      <w:i/>
      <w:iCs/>
      <w:color w:val="404040" w:themeColor="text1" w:themeTint="BF"/>
    </w:rPr>
  </w:style>
  <w:style w:type="paragraph" w:styleId="ListParagraph">
    <w:name w:val="List Paragraph"/>
    <w:basedOn w:val="Normal"/>
    <w:uiPriority w:val="34"/>
    <w:qFormat/>
    <w:rsid w:val="001E4430"/>
    <w:pPr>
      <w:ind w:left="720"/>
      <w:contextualSpacing/>
    </w:pPr>
  </w:style>
  <w:style w:type="character" w:styleId="IntenseEmphasis">
    <w:name w:val="Intense Emphasis"/>
    <w:basedOn w:val="DefaultParagraphFont"/>
    <w:uiPriority w:val="21"/>
    <w:qFormat/>
    <w:rsid w:val="001E4430"/>
    <w:rPr>
      <w:i/>
      <w:iCs/>
      <w:color w:val="0F4761" w:themeColor="accent1" w:themeShade="BF"/>
    </w:rPr>
  </w:style>
  <w:style w:type="paragraph" w:styleId="IntenseQuote">
    <w:name w:val="Intense Quote"/>
    <w:basedOn w:val="Normal"/>
    <w:next w:val="Normal"/>
    <w:link w:val="IntenseQuoteChar"/>
    <w:uiPriority w:val="30"/>
    <w:qFormat/>
    <w:rsid w:val="001E4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E4430"/>
    <w:rPr>
      <w:i/>
      <w:iCs/>
      <w:color w:val="0F4761" w:themeColor="accent1" w:themeShade="BF"/>
    </w:rPr>
  </w:style>
  <w:style w:type="character" w:styleId="IntenseReference">
    <w:name w:val="Intense Reference"/>
    <w:basedOn w:val="DefaultParagraphFont"/>
    <w:uiPriority w:val="32"/>
    <w:qFormat/>
    <w:rsid w:val="001E443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455</Words>
  <Characters>2599</Characters>
  <Application>Microsoft Office Word</Application>
  <DocSecurity>0</DocSecurity>
  <Lines>63</Lines>
  <Paragraphs>35</Paragraphs>
  <ScaleCrop>false</ScaleCrop>
  <Company/>
  <LinksUpToDate>false</LinksUpToDate>
  <CharactersWithSpaces>3019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Chairperson @ AIIC</dc:creator>
  <cp:keywords/>
  <dc:description/>
  <cp:lastModifiedBy>Chairperson @ AIIC</cp:lastModifiedBy>
  <cp:revision>1</cp:revision>
  <dcterms:created xsi:type="dcterms:W3CDTF">2025-11-20T16:44:00Z</dcterms:created>
  <dcterms:modified xsi:type="dcterms:W3CDTF">2025-11-20T16:48:00Z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183ac89c-c011-42c6-9c58-452de039c075</vt:lpwstr>
  </property>
</Properties>
</file>